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024F" w14:textId="77777777" w:rsidR="007A22D4" w:rsidRDefault="007A22D4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 xml:space="preserve">Письмо Министерства строительства и жилищно-коммунального хозяйства РФ от 4 февраля 2020 г. </w:t>
        </w:r>
        <w:r w:rsidR="00A16EA6">
          <w:rPr>
            <w:rStyle w:val="a4"/>
            <w:rFonts w:cs="Times New Roman CYR"/>
            <w:b w:val="0"/>
            <w:bCs w:val="0"/>
          </w:rPr>
          <w:t>№</w:t>
        </w:r>
        <w:r>
          <w:rPr>
            <w:rStyle w:val="a4"/>
            <w:rFonts w:cs="Times New Roman CYR"/>
            <w:b w:val="0"/>
            <w:bCs w:val="0"/>
          </w:rPr>
          <w:t xml:space="preserve"> 2823-ОГ/04 О разъяснении вопросов, связанных с обращением с твердыми коммунальными отходами</w:t>
        </w:r>
      </w:hyperlink>
    </w:p>
    <w:p w14:paraId="6573885C" w14:textId="77777777" w:rsidR="007A22D4" w:rsidRDefault="007A22D4">
      <w:pPr>
        <w:pStyle w:val="1"/>
      </w:pPr>
      <w:r>
        <w:t xml:space="preserve">Письмо Министерства строительства и жилищно-коммунального хозяйства РФ от 4 февраля 2020 г. </w:t>
      </w:r>
      <w:bookmarkStart w:id="0" w:name="_GoBack"/>
      <w:r>
        <w:t>N 2823-ОГ/04</w:t>
      </w:r>
      <w:bookmarkEnd w:id="0"/>
    </w:p>
    <w:p w14:paraId="1C430E69" w14:textId="77777777" w:rsidR="007A22D4" w:rsidRDefault="007A22D4"/>
    <w:p w14:paraId="538C9594" w14:textId="77777777" w:rsidR="007A22D4" w:rsidRDefault="007A22D4">
      <w:r>
        <w:t>Отдел управления жилищным фондом и ОГЖН Департамента развития жилищно-коммунального хозяйства Минстроя России рассмотрел обращение по вопросам, связанным с обращением с твердыми коммунальными отходами (далее - ТКО), и сообщает следующее.</w:t>
      </w:r>
    </w:p>
    <w:p w14:paraId="53533AE3" w14:textId="77777777" w:rsidR="007A22D4" w:rsidRDefault="007A22D4">
      <w:hyperlink r:id="rId8" w:history="1">
        <w:r>
          <w:rPr>
            <w:rStyle w:val="a4"/>
            <w:rFonts w:cs="Times New Roman CYR"/>
          </w:rPr>
          <w:t>Частью 5 статьи 30</w:t>
        </w:r>
      </w:hyperlink>
      <w:r>
        <w:t xml:space="preserve"> Жилищного кодекса Российской Федерации (далее - ЖК РФ) установлено, что собственник жилого дома или части жилого дома обязан обеспечивать обращение с ТКО путем заключения договора с региональным оператором.</w:t>
      </w:r>
    </w:p>
    <w:p w14:paraId="3B06F46D" w14:textId="77777777" w:rsidR="007A22D4" w:rsidRDefault="007A22D4">
      <w:r>
        <w:t xml:space="preserve">Порядок заключения договора предусмотрен </w:t>
      </w:r>
      <w:hyperlink r:id="rId9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6 мая 2011 г. N 354 (далее - Правила N 354), а также </w:t>
      </w:r>
      <w:hyperlink r:id="rId11" w:history="1">
        <w:r>
          <w:rPr>
            <w:rStyle w:val="a4"/>
            <w:rFonts w:cs="Times New Roman CYR"/>
          </w:rPr>
          <w:t>Правилами</w:t>
        </w:r>
      </w:hyperlink>
      <w:r>
        <w:t xml:space="preserve"> обращения с твердыми коммунальными отходами, утвержденными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12 ноября 2016 г. N 1156 (далее - Правила обращения с ТКО).</w:t>
      </w:r>
    </w:p>
    <w:p w14:paraId="14DBCAE6" w14:textId="77777777" w:rsidR="007A22D4" w:rsidRDefault="007A22D4">
      <w:r>
        <w:t xml:space="preserve">Порядок оказания и оплаты коммунальных услуг, в том числе услуги по обращению с ТКО, регулируется положениями </w:t>
      </w:r>
      <w:hyperlink r:id="rId13" w:history="1">
        <w:r>
          <w:rPr>
            <w:rStyle w:val="a4"/>
            <w:rFonts w:cs="Times New Roman CYR"/>
          </w:rPr>
          <w:t>ЖК</w:t>
        </w:r>
      </w:hyperlink>
      <w:r>
        <w:t xml:space="preserve"> РФ и </w:t>
      </w:r>
      <w:hyperlink r:id="rId14" w:history="1">
        <w:r>
          <w:rPr>
            <w:rStyle w:val="a4"/>
            <w:rFonts w:cs="Times New Roman CYR"/>
          </w:rPr>
          <w:t>Правил</w:t>
        </w:r>
      </w:hyperlink>
      <w:r>
        <w:t xml:space="preserve"> N 354.</w:t>
      </w:r>
    </w:p>
    <w:p w14:paraId="4F03901A" w14:textId="77777777" w:rsidR="007A22D4" w:rsidRDefault="007A22D4">
      <w:r>
        <w:t>С учетом положений жилищного законодательства, в том числе Правил N 354, субъекты Российской Федерации вправе самостоятельно определять порядок оплаты коммунальной услуги по обращению с ТКО (</w:t>
      </w:r>
      <w:hyperlink r:id="rId15" w:history="1">
        <w:r>
          <w:rPr>
            <w:rStyle w:val="a4"/>
            <w:rFonts w:cs="Times New Roman CYR"/>
          </w:rPr>
          <w:t>пункт 148 (30)</w:t>
        </w:r>
      </w:hyperlink>
      <w:r>
        <w:t xml:space="preserve"> Правил N 354).</w:t>
      </w:r>
    </w:p>
    <w:p w14:paraId="56BC1846" w14:textId="77777777" w:rsidR="007A22D4" w:rsidRDefault="007A22D4">
      <w: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 исходя из общей площади жилого помещения, то в качестве расчетной единицы для домовладений принимается норматив накопления ТКО на 1 кв. метр общей площади жилого помещения.</w:t>
      </w:r>
    </w:p>
    <w:p w14:paraId="08FC25AD" w14:textId="77777777" w:rsidR="007A22D4" w:rsidRDefault="007A22D4">
      <w:r>
        <w:t>В случае если размер платы за коммунальную услугу по обращению с ТКО определяется исходя из количества граждан, постоянно и временно проживающих в жилом помещении, то в качестве расчетной единицы для домовладений принимается норматив накопления ТКО на 1 проживающего в жилом помещении.</w:t>
      </w:r>
    </w:p>
    <w:p w14:paraId="4C3E1512" w14:textId="77777777" w:rsidR="007A22D4" w:rsidRDefault="007A22D4">
      <w:r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и жилых домов, которые определены в </w:t>
      </w:r>
      <w:hyperlink r:id="rId16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Правилам N 354, применяются в зависимости от принятого в субъекте Российской Федерации порядка оплаты коммунальной услуги по обращению с ТКО.</w:t>
      </w:r>
    </w:p>
    <w:p w14:paraId="04BB285D" w14:textId="77777777" w:rsidR="007A22D4" w:rsidRDefault="007A22D4">
      <w:r>
        <w:t xml:space="preserve">При этом следует отметить, что согласно положениям </w:t>
      </w:r>
      <w:hyperlink r:id="rId17" w:history="1">
        <w:r>
          <w:rPr>
            <w:rStyle w:val="a4"/>
            <w:rFonts w:cs="Times New Roman CYR"/>
          </w:rPr>
          <w:t>статьи 24.10</w:t>
        </w:r>
      </w:hyperlink>
      <w:r>
        <w:t xml:space="preserve"> Федерального закона от 24 июня 1998 г. N 89-ФЗ "Об отходах производства и потребления", объем и (или) масса ТКО определяются исходя из нормативов накопления ТКО в случаях, определенных Правительством Российской Федерации. Указанные случаи установлены </w:t>
      </w:r>
      <w:hyperlink r:id="rId18" w:history="1">
        <w:r>
          <w:rPr>
            <w:rStyle w:val="a4"/>
            <w:rFonts w:cs="Times New Roman CYR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2016 г. N 505 (далее - Правила N 505).</w:t>
      </w:r>
    </w:p>
    <w:p w14:paraId="1B081C94" w14:textId="77777777" w:rsidR="007A22D4" w:rsidRDefault="007A22D4">
      <w:r>
        <w:t xml:space="preserve">Согласно </w:t>
      </w:r>
      <w:hyperlink r:id="rId20" w:history="1">
        <w:r>
          <w:rPr>
            <w:rStyle w:val="a4"/>
            <w:rFonts w:cs="Times New Roman CYR"/>
          </w:rPr>
          <w:t>пункту 6</w:t>
        </w:r>
      </w:hyperlink>
      <w:r>
        <w:t xml:space="preserve"> Правил N 505 в целях осуществления расчетов с собственниками ТКО коммерческий учет ТКО осуществляется в соответствии с </w:t>
      </w:r>
      <w:hyperlink r:id="rId21" w:history="1">
        <w:r>
          <w:rPr>
            <w:rStyle w:val="a4"/>
            <w:rFonts w:cs="Times New Roman CYR"/>
          </w:rPr>
          <w:t>подпунктом "а" пункта 5</w:t>
        </w:r>
      </w:hyperlink>
      <w:r>
        <w:t xml:space="preserve"> Правил N 505, согласно которому коммерческий учет ТКО осуществляется расчетным путем исходя из:</w:t>
      </w:r>
    </w:p>
    <w:p w14:paraId="213D145D" w14:textId="77777777" w:rsidR="007A22D4" w:rsidRDefault="007A22D4">
      <w:r>
        <w:t>нормативов накопления ТКО, выраженных в количественных показателях объема;</w:t>
      </w:r>
    </w:p>
    <w:p w14:paraId="3F42E8E9" w14:textId="77777777" w:rsidR="007A22D4" w:rsidRDefault="007A22D4">
      <w:r>
        <w:t>количества и объема контейнеров для накопления ТКО, установленных в местах накопления ТКО.</w:t>
      </w:r>
    </w:p>
    <w:p w14:paraId="04EE042C" w14:textId="77777777" w:rsidR="007A22D4" w:rsidRDefault="007A22D4">
      <w:r>
        <w:t xml:space="preserve">Положения в части коммерческого учета ТКО применительно к собственникам жилых </w:t>
      </w:r>
      <w:r>
        <w:lastRenderedPageBreak/>
        <w:t xml:space="preserve">помещений (жилой дом, квартира) уточняются в Правилах N 354. Согласно </w:t>
      </w:r>
      <w:hyperlink r:id="rId22" w:history="1">
        <w:r>
          <w:rPr>
            <w:rStyle w:val="a4"/>
            <w:rFonts w:cs="Times New Roman CYR"/>
          </w:rPr>
          <w:t>пункту 148 (30)</w:t>
        </w:r>
      </w:hyperlink>
      <w:r>
        <w:t xml:space="preserve"> Правил N 354 в отношении потребителей в жилых помещениях (жилой дом, квартира) коммерческий учет ТКО осуществляется расчетным путем исходя из нормативов накопления ТКО, выраженных в количественных показателях объема, а в случае если введено раздельное накопление сортированных ТКО - расчетным путем исходя из количества и объема контейнеров для накопления ТКО, установленных в местах накопления ТКО. При этом раздельное накопление сортированных ТКО следует считать организованным в случае утверждения органом государственной власти субъекта Российской Федерации порядка раздельного накопления ТКО и фактического выполнения потребителями разделения ТКО по установленным нормативным правовым актом субъекта Российской Федерации видам отходов и складирование сортированных ТКО в отдельных контейнерах для соответствующих видов ТКО.</w:t>
      </w:r>
    </w:p>
    <w:p w14:paraId="3A22B113" w14:textId="77777777" w:rsidR="007A22D4" w:rsidRDefault="007A22D4">
      <w:r>
        <w:t>При принятии органом государственной власти субъекта Российской Федерации решения о раздельном накоплении ТКО на соответствующей территории субъекта Российской Федерации в территориальной схеме обращения с отходами, в том числе с ТКО, должна быть сформирована схема потоков ТКО с учетом введения раздельного накопления ТКО в установленном порядке.</w:t>
      </w:r>
    </w:p>
    <w:p w14:paraId="5FEFFC5E" w14:textId="77777777" w:rsidR="007A22D4" w:rsidRDefault="007A22D4">
      <w:r>
        <w:t>Отмечаем,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являются экспертной позицией Минстроя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14:paraId="14B19385" w14:textId="77777777" w:rsidR="007A22D4" w:rsidRDefault="007A22D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A22D4" w14:paraId="7FA3AF4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B7501F8" w14:textId="77777777" w:rsidR="007A22D4" w:rsidRDefault="007A22D4">
            <w:pPr>
              <w:pStyle w:val="a6"/>
            </w:pPr>
            <w:r>
              <w:t>Начальник отдела управления</w:t>
            </w:r>
            <w:r>
              <w:br/>
              <w:t>жилищным фондом и ОГЖН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2D99130" w14:textId="77777777" w:rsidR="007A22D4" w:rsidRDefault="007A22D4">
            <w:pPr>
              <w:pStyle w:val="a5"/>
              <w:jc w:val="right"/>
            </w:pPr>
            <w:r>
              <w:t>Л.Р. Егорова</w:t>
            </w:r>
          </w:p>
        </w:tc>
      </w:tr>
    </w:tbl>
    <w:p w14:paraId="45885CFC" w14:textId="77777777" w:rsidR="007A22D4" w:rsidRDefault="007A22D4"/>
    <w:sectPr w:rsidR="007A22D4"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4512" w14:textId="77777777" w:rsidR="00BA2C2A" w:rsidRDefault="00BA2C2A">
      <w:r>
        <w:separator/>
      </w:r>
    </w:p>
  </w:endnote>
  <w:endnote w:type="continuationSeparator" w:id="0">
    <w:p w14:paraId="58E46915" w14:textId="77777777" w:rsidR="00BA2C2A" w:rsidRDefault="00B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57D2" w14:textId="77777777" w:rsidR="00000000" w:rsidRDefault="00BA2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1A38" w14:textId="77777777" w:rsidR="00BA2C2A" w:rsidRDefault="00BA2C2A">
      <w:r>
        <w:separator/>
      </w:r>
    </w:p>
  </w:footnote>
  <w:footnote w:type="continuationSeparator" w:id="0">
    <w:p w14:paraId="673BB3BE" w14:textId="77777777" w:rsidR="00BA2C2A" w:rsidRDefault="00BA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A6"/>
    <w:rsid w:val="007A22D4"/>
    <w:rsid w:val="00A16EA6"/>
    <w:rsid w:val="00B23BA5"/>
    <w:rsid w:val="00BA2C2A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F3A30"/>
  <w14:defaultImageDpi w14:val="0"/>
  <w15:docId w15:val="{4B79E3E3-54F9-4CC9-BE48-80B0E08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3005" TargetMode="External"/><Relationship Id="rId13" Type="http://schemas.openxmlformats.org/officeDocument/2006/relationships/hyperlink" Target="http://internet.garant.ru/document/redirect/12138291/0" TargetMode="External"/><Relationship Id="rId18" Type="http://schemas.openxmlformats.org/officeDocument/2006/relationships/hyperlink" Target="http://internet.garant.ru/document/redirect/71416736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416736/10051" TargetMode="External"/><Relationship Id="rId7" Type="http://schemas.openxmlformats.org/officeDocument/2006/relationships/hyperlink" Target="http://internet.garant.ru/document/redirect/73507329/0" TargetMode="External"/><Relationship Id="rId12" Type="http://schemas.openxmlformats.org/officeDocument/2006/relationships/hyperlink" Target="http://internet.garant.ru/document/redirect/71540160/0" TargetMode="External"/><Relationship Id="rId17" Type="http://schemas.openxmlformats.org/officeDocument/2006/relationships/hyperlink" Target="http://internet.garant.ru/document/redirect/12112084/24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6043/20000" TargetMode="External"/><Relationship Id="rId20" Type="http://schemas.openxmlformats.org/officeDocument/2006/relationships/hyperlink" Target="http://internet.garant.ru/document/redirect/71416736/10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540160/10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6043/1483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2186043/0" TargetMode="External"/><Relationship Id="rId19" Type="http://schemas.openxmlformats.org/officeDocument/2006/relationships/hyperlink" Target="http://internet.garant.ru/document/redirect/714167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6043/1000" TargetMode="External"/><Relationship Id="rId14" Type="http://schemas.openxmlformats.org/officeDocument/2006/relationships/hyperlink" Target="http://internet.garant.ru/document/redirect/12186043/1000" TargetMode="External"/><Relationship Id="rId22" Type="http://schemas.openxmlformats.org/officeDocument/2006/relationships/hyperlink" Target="http://internet.garant.ru/document/redirect/12186043/1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5491</Characters>
  <Application>Microsoft Office Word</Application>
  <DocSecurity>0</DocSecurity>
  <Lines>45</Lines>
  <Paragraphs>12</Paragraphs>
  <ScaleCrop>false</ScaleCrop>
  <Company>НПП "Гарант-Сервис"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Калоев Руслан Сосланович</cp:lastModifiedBy>
  <cp:revision>2</cp:revision>
  <dcterms:created xsi:type="dcterms:W3CDTF">2020-02-20T06:14:00Z</dcterms:created>
  <dcterms:modified xsi:type="dcterms:W3CDTF">2020-02-20T06:14:00Z</dcterms:modified>
</cp:coreProperties>
</file>